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5594-ЕЕ/Д28и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АК-553/06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марта 2015 года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МЕТОДИЧЕСКИХ РЕКОМЕНДАЦИЙ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Минэкономразвития России и Минобрнауки России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</w:t>
      </w:r>
      <w:hyperlink r:id="rId6" w:history="1">
        <w:r>
          <w:rPr>
            <w:rFonts w:ascii="Calibri" w:hAnsi="Calibri" w:cs="Calibri"/>
            <w:color w:val="0000FF"/>
          </w:rPr>
          <w:t>повышения</w:t>
        </w:r>
      </w:hyperlink>
      <w:r>
        <w:rPr>
          <w:rFonts w:ascii="Calibri" w:hAnsi="Calibri" w:cs="Calibri"/>
        </w:rPr>
        <w:t xml:space="preserve"> уровня квалификации должностных лиц, занятых в сфере закупок, направляет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</w:t>
      </w:r>
      <w:proofErr w:type="gramEnd"/>
      <w:r>
        <w:rPr>
          <w:rFonts w:ascii="Calibri" w:hAnsi="Calibri" w:cs="Calibri"/>
        </w:rPr>
        <w:t xml:space="preserve"> услуг в сфере закупок товаров, работ, услуг для обеспечения государственных и муниципальных нужд </w:t>
      </w:r>
      <w:hyperlink w:anchor="Par31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одобрены Межведомственной рабочей группой Минэкономразвития России и Минобрнауки России по вопросу о формировании системы подготовки и государственной аттестации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Просим довести </w:t>
      </w:r>
      <w:hyperlink w:anchor="Par31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до сведения всех организаций, расположенных на территории субъекта Российской Федерации, которые реализуют дополнительные профессиональные программы.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образования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А.А.КЛИМОВ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МЕТОДИЧЕСКИЕ РЕКОМЕНДАЦИИ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РЕАЛИЗАЦИИ ДОПОЛНИТЕЛЬНЫХ ПРОФЕССИОНАЛЬНЫХ ПРОГРАММ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ПОВЫШЕНИЯ КВАЛИФИКАЦИИ В СФЕРЕ ЗАКУПОК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Общие положения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Методические рекомендации по реализации дополнительных профессиональных программ </w:t>
      </w:r>
      <w:hyperlink r:id="rId7" w:history="1">
        <w:r>
          <w:rPr>
            <w:rFonts w:ascii="Calibri" w:hAnsi="Calibri" w:cs="Calibri"/>
            <w:color w:val="0000FF"/>
          </w:rPr>
          <w:t>повышения</w:t>
        </w:r>
      </w:hyperlink>
      <w:r>
        <w:rPr>
          <w:rFonts w:ascii="Calibri" w:hAnsi="Calibri" w:cs="Calibri"/>
        </w:rPr>
        <w:t xml:space="preserve"> квалификации в сфере закупок (далее - Методические рекомендации) </w:t>
      </w:r>
      <w:r>
        <w:rPr>
          <w:rFonts w:ascii="Calibri" w:hAnsi="Calibri" w:cs="Calibri"/>
        </w:rPr>
        <w:lastRenderedPageBreak/>
        <w:t>разработаны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Методические рекомендации предназначены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 xml:space="preserve">2. Общая характеристика </w:t>
      </w:r>
      <w:proofErr w:type="gramStart"/>
      <w:r>
        <w:rPr>
          <w:rFonts w:ascii="Calibri" w:hAnsi="Calibri" w:cs="Calibri"/>
        </w:rPr>
        <w:t>дополнительных</w:t>
      </w:r>
      <w:proofErr w:type="gramEnd"/>
      <w:r>
        <w:rPr>
          <w:rFonts w:ascii="Calibri" w:hAnsi="Calibri" w:cs="Calibri"/>
        </w:rPr>
        <w:t xml:space="preserve"> профессиональных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повышения квалификации в сфере закупок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Дополнительные профессиональные программы повышения квалификации в сфере закупок (далее - Программы) направлены на реализацию принципа профессионализма заказчика &lt;1&gt;. Программы разрабатывается организациями, осуществляющими образовательную деятельность, в соответствии с законодательством Российской Федерации.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Статья 9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Профессиональной деятельностью лиц, прошедших </w:t>
      </w:r>
      <w:proofErr w:type="gramStart"/>
      <w:r>
        <w:rPr>
          <w:rFonts w:ascii="Calibri" w:hAnsi="Calibri" w:cs="Calibri"/>
        </w:rPr>
        <w:t>обучение по Программам</w:t>
      </w:r>
      <w:proofErr w:type="gramEnd"/>
      <w:r>
        <w:rPr>
          <w:rFonts w:ascii="Calibri" w:hAnsi="Calibri" w:cs="Calibri"/>
        </w:rPr>
        <w:t>, является выполнение функций специалистов: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заказчика, уполномоченного органа, уполномоченного учреждения, занятых в сфере закупок, в том числе выполняющих функции члена комиссии по осуществлению закупок, работника контрактной службы, контрактного управляющего;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 по регулированию контрактной системы в сфере закупок, органа, уполномоченного на осуществление контроля в сфере закупок, органа аудита в сфере закупок;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 организации, привлекаемой для выполнения отдельных функций по определению поставщика (подрядчика, исполнителя);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участию в определении поставщиков (подрядчиков, исполнителей);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видов деятельности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 xml:space="preserve">2.4. В случае реализации Программ в целях обучения руководителей организаций-заказчиков минимальный срок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таким Программам может быть снижен до 40 часов.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</w:t>
      </w:r>
      <w:proofErr w:type="gramStart"/>
      <w:r>
        <w:rPr>
          <w:rFonts w:ascii="Calibri" w:hAnsi="Calibri" w:cs="Calibri"/>
        </w:rPr>
        <w:t>Обучение по Программам</w:t>
      </w:r>
      <w:proofErr w:type="gramEnd"/>
      <w:r>
        <w:rPr>
          <w:rFonts w:ascii="Calibri" w:hAnsi="Calibri" w:cs="Calibri"/>
        </w:rPr>
        <w:t xml:space="preserve"> рекомендуется реализовывать в очной, очно-заочной форме. При реализации Программ в очно-заочной форме рекомендуется устанавливать очную часть обучения в объеме не менее 40 часов аудиторной работы &lt;1&gt;, за исключением случая, установленного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рекомендаций. Для Программ, предусмотренных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рекомендаций, рекомендуется устанавливать очную часть в объеме не менее 16 часов аудиторной работы.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Аудиторная работа - разновидность контактной работы обучающихся с преподавателем, включает в себя занятия лекционного вида, и (или) занятия семинарского вида,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 обучающихся и итоговой аттестации обучающихся.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При реализации Программ могут применяться дистанционные образовательные технологии, электронное обучение.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В Программы рекомендуется включать лекционные, практические, семинарские занятия, деловые игры, консультации по тематике осуществления закупок для обеспечения </w:t>
      </w:r>
      <w:r>
        <w:rPr>
          <w:rFonts w:ascii="Calibri" w:hAnsi="Calibri" w:cs="Calibri"/>
        </w:rPr>
        <w:lastRenderedPageBreak/>
        <w:t>государственных и муниципальных нужд.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Обучение в сфере закупок рекомендуется проводить по мере необходимости, но не реже, чем каждые три года для всех категорий обучающихся.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При разработке и реализации Программ может применяться модульный принцип представления содержания образования.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Обучение по Программам рекомендуется </w:t>
      </w:r>
      <w:proofErr w:type="gramStart"/>
      <w:r>
        <w:rPr>
          <w:rFonts w:ascii="Calibri" w:hAnsi="Calibri" w:cs="Calibri"/>
        </w:rPr>
        <w:t>проводить</w:t>
      </w:r>
      <w:proofErr w:type="gramEnd"/>
      <w:r>
        <w:rPr>
          <w:rFonts w:ascii="Calibri" w:hAnsi="Calibri" w:cs="Calibri"/>
        </w:rPr>
        <w:t xml:space="preserve"> применяя современные образовательные методики и технологии.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Конкретное название программы, наименование и содержание отдельных ее компонентов, формы реализации, планируемые результаты (перечень профессиональных компетенций в сфере закупок), учебный план и календарный учебный график определяются организацией, осуществляющей образовательную деятельность, самостоятельно, с учетом требований, установленных в </w:t>
      </w:r>
      <w:hyperlink w:anchor="Par70" w:history="1">
        <w:r>
          <w:rPr>
            <w:rFonts w:ascii="Calibri" w:hAnsi="Calibri" w:cs="Calibri"/>
            <w:color w:val="0000FF"/>
          </w:rPr>
          <w:t>пунктах 3.3</w:t>
        </w:r>
      </w:hyperlink>
      <w:r>
        <w:rPr>
          <w:rFonts w:ascii="Calibri" w:hAnsi="Calibri" w:cs="Calibri"/>
        </w:rPr>
        <w:t xml:space="preserve"> - </w:t>
      </w:r>
      <w:hyperlink w:anchor="Par234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 настоящих Методических рекомендаций.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3. Содержание Программ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Программы должны быть направлены на совершенствование и (или) получение новых компетенций, необходимых для профессиональной деятельности в сфере закупок, и (или) повышение профессионального уровня в рамках имеющейся квалификации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Содержание Программ должно учитывать профессиональные стандарты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 xml:space="preserve">3.3. Рекомендуемый минимально необходимый объем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каждой дисциплине Программ, за исключением Программ, реализуемых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рекомендаций, представлен в таблице 1.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 xml:space="preserve">Таблица 1 - Минимально необходимый объем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каждой дисциплине Программ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  <w:sectPr w:rsidR="00CD0AE3" w:rsidSect="00CF79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7120"/>
        <w:gridCol w:w="1597"/>
      </w:tblGrid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дисциплин и их основные темы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часов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контрактной системы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задачи и принципы контрактной системы. Участники контрактной системы, их права и обязанности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Контрактная служба. Контрактные управляющие. Комиссия по осуществлению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обеспечение контрактной системы в сфере закупок. Порядок организации электронного документооборота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и обоснование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и обоснование закупок. Централизованные закупки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начальной (максимальной) цены контракта, ее назначение, методы определения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Способы определения поставщиков (подрядчиков, исполнителей): общая </w:t>
            </w:r>
            <w:r>
              <w:rPr>
                <w:rFonts w:ascii="Calibri" w:hAnsi="Calibri" w:cs="Calibri"/>
              </w:rPr>
              <w:lastRenderedPageBreak/>
              <w:t>характеристика способов, основные правила выбора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осуществления закупок путем проведения аукциона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осуществления закупок способом запроса котировок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осуществления закупок способом запроса предложений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отдельных видов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заключения, исполнения, изменения и расторжения контрактов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Итоговая аттестация: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Экзамен (тестирование) и/или защита итоговой работы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</w:tbl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Рекомендуемый минимально необходимый объем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каждой дисциплине Программ, реализуемых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рекомендаций, представлен в таблице 2.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9" w:name="Par173"/>
      <w:bookmarkEnd w:id="9"/>
      <w:r>
        <w:rPr>
          <w:rFonts w:ascii="Calibri" w:hAnsi="Calibri" w:cs="Calibri"/>
        </w:rPr>
        <w:t xml:space="preserve">Таблица 2 - Минимально необходимый объем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каждой дисциплине Программ для руководителей организаций-заказчиков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7122"/>
        <w:gridCol w:w="1579"/>
      </w:tblGrid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дисциплин и их основные темы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часов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контрактной системы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задачи и принципы контрактной системы. Участники контрактной системы, их права и обязанности. Контрактная служба. Контрактные управляющие. Комиссия по осуществлению закупок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и обоснование закупок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и обоснование закупок. Централизованные закупки. Понятие начальной (максимальной) цены контракта, ее назначение, методы определения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закупок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заключения, исполнения, изменения и расторжения контрактов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и аудит в сфере закупок. Общественный контроль и </w:t>
            </w:r>
            <w:r>
              <w:rPr>
                <w:rFonts w:ascii="Calibri" w:hAnsi="Calibri" w:cs="Calibri"/>
              </w:rPr>
              <w:lastRenderedPageBreak/>
              <w:t>общественное обсуждение закупок</w:t>
            </w:r>
          </w:p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Итоговая аттестация: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Экзамен (тестирование)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D0AE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E3" w:rsidRDefault="00CD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D0AE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34"/>
      <w:bookmarkEnd w:id="10"/>
      <w:r>
        <w:rPr>
          <w:rFonts w:ascii="Calibri" w:hAnsi="Calibri" w:cs="Calibri"/>
        </w:rPr>
        <w:t>3.5. Программы могут содержать вариативную часть, предусматривающую специализацию, в том числе по объекту закупки, по способам закупок, по роду деятельности (для руководителей контрактных служб, уполномоченных органов, специалистов органов, уполномоченных на осуществление контроля в сфере закупок, членов комиссий, работников специализированных организаций, экспертов, консультантов и др.), по региональной специфике осуществления закупок. Объем вариативной части не может превышать 15 процентов от общего количества часов реализуемой программы.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36"/>
      <w:bookmarkEnd w:id="11"/>
      <w:r>
        <w:rPr>
          <w:rFonts w:ascii="Calibri" w:hAnsi="Calibri" w:cs="Calibri"/>
        </w:rPr>
        <w:t>3.6. Примерное содержание Программ: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238"/>
      <w:bookmarkEnd w:id="12"/>
      <w:r>
        <w:rPr>
          <w:rFonts w:ascii="Calibri" w:hAnsi="Calibri" w:cs="Calibri"/>
        </w:rPr>
        <w:t>3.6.1. Основы контрактной системы.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- контрактная система);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целях и задачах создания и функционирования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системой, порядком организации электронного документооборота.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241"/>
      <w:bookmarkEnd w:id="13"/>
      <w:r>
        <w:rPr>
          <w:rFonts w:ascii="Calibri" w:hAnsi="Calibri" w:cs="Calibri"/>
        </w:rPr>
        <w:t>3.6.2. Законодательство Российской Федерации о контрактной системе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</w:t>
      </w:r>
      <w:hyperlink r:id="rId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Бюджетный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о контрактной системе; знакомит слушателей с антимонопольным законодательством.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244"/>
      <w:bookmarkEnd w:id="14"/>
      <w:r>
        <w:rPr>
          <w:rFonts w:ascii="Calibri" w:hAnsi="Calibri" w:cs="Calibri"/>
        </w:rPr>
        <w:t>3.6.3. Планирование и обоснование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247"/>
      <w:bookmarkEnd w:id="15"/>
      <w:r>
        <w:rPr>
          <w:rFonts w:ascii="Calibri" w:hAnsi="Calibri" w:cs="Calibri"/>
        </w:rPr>
        <w:t>3.6.4. Осуществление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 конкретные примеры применения способов определения поставщика (подрядчика, исполнителя), преимущества и недостатки каждого способа;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раскрывает условия допуска к участию в закупках, антидемпинговые механизмы в закупках и правила их применения; 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</w:t>
      </w:r>
      <w:r>
        <w:rPr>
          <w:rFonts w:ascii="Calibri" w:hAnsi="Calibri" w:cs="Calibri"/>
        </w:rPr>
        <w:lastRenderedPageBreak/>
        <w:t>инвалидов в закупках; знакомит слушателей с правилами описания объекта закупки, порядком составления технического задания;</w:t>
      </w:r>
      <w:proofErr w:type="gramEnd"/>
      <w:r>
        <w:rPr>
          <w:rFonts w:ascii="Calibri" w:hAnsi="Calibri" w:cs="Calibri"/>
        </w:rPr>
        <w:t xml:space="preserve"> знакомит слушателей с порядком проведения способов определения поставщиков (подрядчиков, исполнителей); освещает документооборот 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питания), знакомит с особенностями составления технических требований и спецификаций на указанную продукцию; знакомит с особенностями заключения энергосервисных контрактов.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250"/>
      <w:bookmarkEnd w:id="16"/>
      <w:r>
        <w:rPr>
          <w:rFonts w:ascii="Calibri" w:hAnsi="Calibri" w:cs="Calibri"/>
        </w:rPr>
        <w:t>3.6.5. Контракты.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Знакомит слушателей с основным понятийным аппаратом, структурой контрактов, опытом их заключения; </w:t>
      </w:r>
      <w:proofErr w:type="gramStart"/>
      <w:r>
        <w:rPr>
          <w:rFonts w:ascii="Calibri" w:hAnsi="Calibri" w:cs="Calibri"/>
        </w:rPr>
        <w:t>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реестра контрактов.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253"/>
      <w:bookmarkEnd w:id="17"/>
      <w:r>
        <w:rPr>
          <w:rFonts w:ascii="Calibri" w:hAnsi="Calibri" w:cs="Calibri"/>
        </w:rPr>
        <w:t>3.6.6. Мониторинг, контроль, аудит и защита прав и интересов участников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256"/>
      <w:bookmarkEnd w:id="18"/>
      <w:r>
        <w:rPr>
          <w:rFonts w:ascii="Calibri" w:hAnsi="Calibri" w:cs="Calibri"/>
        </w:rPr>
        <w:t>4. Требования к итоговой аттестации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Освоение Программ завершается итоговой аттестацией, которая направлена на определение теоретической и практической подготовленности обучающихся к выполнению профессиональных задач в сфере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Рекомендуется предусматривать итоговую аттестацию в форме экзамена (тестирование) и (или) защиты итоговой работы, за исключением Программ, реализуемых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рекомендаций. Для Программ, предусмотренных </w:t>
      </w:r>
      <w:hyperlink w:anchor="Par5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настоящих Методических рекомендаций, рекомендуется предусматривать итоговую аттестацию в форме экзамена (тестирование).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Лицам, успешно прошедшим итоговую аттестацию, выдаются удостоверения о повышении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упрощения процесса подтверждения подлинности документов о квалификации работодателями, кадровыми службами и др., экономии бюджетов образовательных организаций, повышения имиджа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 рекомендуется изготавливать удостоверения о повышении квалификации на бланках, являющихся защищенными от подделок полиграфической продукцией, изготавливаемой в соответствии с техническими требованиями и условиями изготовления защищенной полиграфической продукции.</w:t>
      </w:r>
      <w:proofErr w:type="gramEnd"/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Требования к содержанию, объему и структуре итоговых работ определяются организацией, осуществляющей образовательную деятельность.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64"/>
      <w:bookmarkEnd w:id="19"/>
      <w:r>
        <w:rPr>
          <w:rFonts w:ascii="Calibri" w:hAnsi="Calibri" w:cs="Calibri"/>
        </w:rPr>
        <w:t>5. Требования к условиям реализации Программы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Организациям, осуществляющей образовательную деятельность, рекомендуется проводить внутренний мониторинг качества реализации дополнительных профессиональных программ и их результатов.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5.2. Для проведения занятий по Программам рекомендуется привлекать специалистов, прошедших дополнительное профессиональное образование в сфере закупок и (или) имеющих практический опыт в сфере закупок.</w:t>
      </w:r>
    </w:p>
    <w:p w:rsidR="00CD0AE3" w:rsidRDefault="00CD0A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CD0AE3" w:rsidRDefault="00CD0A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Организациям, реализующим Программы, рекомендуется обеспечить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учебно-методическими материалами, необходимыми для освоения Программы (учебные пособия, дидактические и методические материалы, презентации и др. в печатном и (или) электронном виде).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Организациям, реализующим Программы, в процессе обучения и в течение не менее трех месяцев после завершения обучения рекомендуется обеспечить консультационную поддержку слушателя по вопросам, связанным с практическим применением полученных знаний в процессе решения профессиональных задач при осуществлении закупок.</w:t>
      </w: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AE3" w:rsidRDefault="00CD0A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11B43" w:rsidRDefault="00111B43">
      <w:bookmarkStart w:id="20" w:name="_GoBack"/>
      <w:bookmarkEnd w:id="20"/>
    </w:p>
    <w:sectPr w:rsidR="00111B4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E3"/>
    <w:rsid w:val="00111B43"/>
    <w:rsid w:val="00C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879A9FD9D101FED3932D9B5C902CC28AE167A1113AB0AED53EDB49CDBD975A20CFE97F9D90CD9eED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E879A9FD9D101FED3932D9B5C902CC28AE167A1113AB0AED53EDB49CDBD975A20CFE97F9D90CD9eEDE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E879A9FD9D101FED3932D9B5C902CC28AE167A1113AB0AED53EDB49CDBD975A20CFE97F9D90CD9eEDEG" TargetMode="External"/><Relationship Id="rId11" Type="http://schemas.openxmlformats.org/officeDocument/2006/relationships/hyperlink" Target="consultantplus://offline/ref=96E879A9FD9D101FED3932D9B5C902CC28AE167A1113AB0AED53EDB49CDBD975A20CFE97F9D90CD9eEDC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6E879A9FD9D101FED3932D9B5C902CC28AE127C1614AB0AED53EDB49CeDD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879A9FD9D101FED3932D9B5C902CC28AE167A1011AB0AED53EDB49CeD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2015-04-27T06:03:00Z</dcterms:created>
  <dcterms:modified xsi:type="dcterms:W3CDTF">2015-04-27T06:04:00Z</dcterms:modified>
</cp:coreProperties>
</file>